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numPr>
          <w:ilvl w:val="1"/>
          <w:numId w:val="2"/>
        </w:numPr>
        <w:spacing w:lineRule="atLeast" w:line="100" w:before="0" w:after="40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Заключение по данным экспериментально-психологического обследования</w:t>
      </w:r>
    </w:p>
    <w:p>
      <w:pPr>
        <w:pStyle w:val="Normal"/>
        <w:spacing w:lineRule="atLeast" w:line="100" w:before="0"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</w:t>
      </w:r>
      <w:r>
        <w:rPr>
          <w:rFonts w:ascii="Times New Roman" w:hAnsi="Times New Roman"/>
          <w:sz w:val="24"/>
          <w:szCs w:val="24"/>
        </w:rPr>
        <w:t>., 20 лет</w:t>
      </w:r>
    </w:p>
    <w:p>
      <w:pPr>
        <w:pStyle w:val="Normal"/>
        <w:spacing w:lineRule="atLeast" w:line="100" w:before="0"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6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обращения: нозологическая диагностика</w:t>
      </w:r>
    </w:p>
    <w:p>
      <w:pPr>
        <w:pStyle w:val="Normal"/>
        <w:spacing w:before="100" w:after="10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Перечень отобранных для обследования методик:</w:t>
      </w:r>
      <w:r>
        <w:rPr>
          <w:rFonts w:ascii="Times New Roman" w:hAnsi="Times New Roman"/>
          <w:sz w:val="20"/>
          <w:szCs w:val="20"/>
        </w:rPr>
        <w:t xml:space="preserve"> заучивание 10 слов, пиктограммы, тест Бентона, счет по Крепелину в адаптации «на переключаемость» Курочкина, классификация предметов, исключение предметов, сравнение понятий, существенные признаки, сложные аналогии, толкование пословиц, рисунок несуществующего животного (РНЖ), тест Люшера.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 жалобы не предъявляет. На попытки направленного расспроса реагирует со злостью, раздражением: в агрессивной манере декларирует отсутствие каких-либо расстройств психической сферы.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начале обследования напряжен, насторожен, подозрителен. Интересуется, не ведется ли видео съемка и диктофонная запись. В ходе обследования уровень тревоги несколько снижается. 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Эмоциональные реакции лабильные, проявляются в узком спектре (в основном это злость различной интенсивности, а также смех в качестве защитной реакции).  Чувство дистанции нарушено, манера общения с экспериментатором не вполне адекватна ситуации. Отношение к имеющимся расстройствам без критики.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Проективные методики свидетельствуют о высоком уровне тревоги и дезадаптации (вторая выборка в тесте Люшера 0</w:t>
      </w:r>
      <w:r>
        <w:rPr>
          <w:rFonts w:ascii="Times New Roman" w:hAnsi="Times New Roman"/>
          <w:sz w:val="24"/>
          <w:szCs w:val="24"/>
          <w:vertAlign w:val="superscript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!!!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vertAlign w:val="superscript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!!</w:t>
      </w:r>
      <w:r>
        <w:rPr>
          <w:rFonts w:ascii="Times New Roman" w:hAnsi="Times New Roman"/>
          <w:sz w:val="24"/>
          <w:szCs w:val="24"/>
        </w:rPr>
        <w:t>3412</w:t>
      </w:r>
      <w:r>
        <w:rPr>
          <w:rFonts w:ascii="Times New Roman" w:hAnsi="Times New Roman"/>
          <w:sz w:val="24"/>
          <w:szCs w:val="24"/>
          <w:vertAlign w:val="superscript"/>
        </w:rPr>
        <w:t>А</w:t>
      </w:r>
      <w:r>
        <w:rPr>
          <w:rFonts w:ascii="Times New Roman" w:hAnsi="Times New Roman"/>
          <w:sz w:val="24"/>
          <w:szCs w:val="24"/>
          <w:vertAlign w:val="subscript"/>
        </w:rPr>
        <w:t>!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vertAlign w:val="superscript"/>
        </w:rPr>
        <w:t>А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vertAlign w:val="superscript"/>
        </w:rPr>
        <w:t>А</w:t>
      </w:r>
      <w:r>
        <w:rPr>
          <w:rFonts w:ascii="Times New Roman" w:hAnsi="Times New Roman"/>
          <w:sz w:val="24"/>
          <w:szCs w:val="24"/>
        </w:rPr>
        <w:t>, «волосатые» контуры НЖ). РНЖ с признаками отклонений от психической нормы и психической патологии (размер свыше 2/3 листа, животное в ситуации прямохождения). Остро переживается неудовлетворенность потребности в самоутверждении, потребности в поддержке и опоре, потребность в простых инстинктивных переживаниях. Крайняя степень эмоционально-личностной незрелости (Люшер, РНЖ). Расширенные границы личности, эгоцентризм (РНЖ). Компенсация тревоги при этом неадекватна и крайне неоптимальна: проходит за счет агрессивного неприятия (см. Люшер, черты паранойяльности в РНЖ) и отгораживания от внешнего мира (см. Люшер, признаки действия интрапсихического механизма аутизации в РНЖ). Основной конфликт можно определить как сочетание таких разнонаправленных тенденций как желание активно действовать и добиваться успеха, при этом основным способом действия является отгораживание от раздражителей внешнего мира, а более или менее осознанной целью является стремление к агрессивному неприятию мира. Ведущими защитными механизмами являются дистанцирование от внешнего мира и проекция враждебных импульсов. Тип личности – шизоидно-паранойяльный.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на познавательную деятельность выполнял без старания. Эмоционального отношения одинаково не проявлял к положительным и отрицательным оценкам экспериментатора. Инструкции к методикам усваивал не всегда полностью, в ряде методик не удерживал соблюдение инструкции в полном объеме. Заинтересованности в результатах обследования не обнаружил. Мотив экспертизы не актуализируется.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обнаружило выраженные нарушения умственной работоспособности. Кривая запоминания 10 слов носит ломаный характер (4-7-6-9-7), что свидетельствует о нарушении умственной работоспособности. Часть выученных в предыдущей пробе слов систематически не воспроизводится, что говорит о сужении объема внимания. Продуктивность в методике «счет по Крепелину» вдвое меньше нормативной (10-9-6-7-7-7-7-7), что обнаруживает замедление темпа деятельности и падение работоспособности при небольшой нагрузке. Можно предполагать, что замедленность темпа выполнения задания оказывается в действительности итогом неравномерности темпа отдельных операций.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Непосредственная слухоречевая память нарушена (отсроченное воспроизведение 5 слов). Введение опосредствования повышает продуктивность мнестической деятельности (точно воспроизводит 15 из 16 заданных выражений). Можно предполагать органическую слабость памяти. При этом при выполнении методики «пиктограммы» обнаруживает мотивационные нарушения – несмотря на принципиальную доступность высокого уровня обобщения для 2 выражений отказывается рисовать какой-либо рисунок, сообщая, что и так запомнит. В 2 других случаях актуализировавшиеся ассоциации носят необычный, случайный характер (дружба – фигура круга; печаль – разбитая ваза). Таким образом, можно говорить о нарушении мотивационного компонента памяти.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мыслительной сфере обнаруживаются нарушения ее личностного компонента в виде разноплановости. В классификации предметов на этапе глухой инструкции испытуемый складывает следующие группы: диван, платье, пила и ребенок (цветные карточки); плоды (свекла и груша); предметы, сделанные из дерева (этажерка и деревья); велосипед, ботинки, телегу (средства передвижения). На втором этапе, испытуемый неохотно соглашается расформировать группу с цветными карточками, с трудом идет на расформирование группы «сделанного из дерева» и отказывается расформировывать «транспортные средства», потому что «ботинки также являются транспортным средством», так как «он очень любит ходить, и много ходит». Подобное отстаивание неверных решений свидетельствует о нарушении критичности поведения. В результате одновременного сосуществования различных подходов к заданию суждения, определения и выводы испытуемого утрачивают целенаправленность. Наибольшую выраженность утрата целенаправленности обретает в условиях необходимости самостоятельной организации своих действий, что является свидетельством ослабления процесса саморегуляции познавательной деятельности. Латентные признаки также актуализируются в методике «исключение предметов». На карточке с изображением радио, письма, балалайки и телефона, испытуемый исключает письмо, т.к. «оно не звучит»; на карточке с изображением зонта, фуражки, пистолета и барабана исключает пистолет, назвав группу из трех «элементы, не приносящие летального исхода». Помимо актуализации латентных признаков, испытуемый обнаруживает склонность к конкретному мышлению (в классификации предметов, в сравнении понятий). Такие ошибки повторяются, несмотря на критические замечания. Пословицы толкует за редким исключением неверно, опираясь на конкретные признаки («не в свои сани не садись» - «не надо брать чужого»; «лес рубят, щепки летят» - «во время какого-либо действия смотри, чтобы не пострадали другие»). Понимание переносного смысла затруднено.</w:t>
      </w:r>
    </w:p>
    <w:p>
      <w:pPr>
        <w:pStyle w:val="Heading1"/>
        <w:rPr/>
      </w:pPr>
      <w:r>
        <w:rPr/>
        <w:t>Выводы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тревоги и фрустрации, дезадаптация. Крайняя степень инфантильности, эгоцентризм. Расширенные границы Я, придание повышенного значения своей персоне, выраженная тенденция неделикатно утеснять других создают зону конфликта с окружающими. Ведущие защитные механизмы психики: 1) соблюдение «психической дистанции» между собой и окружающим миром, которая позволяет воспринимать происходящее как бы «со стороны», уходя из окружающей среды во внутренний мир; 2) проекция собственных враждебных импульсов (накапливающихся в силу ригидности аффективной сферы) на окружающих посредством разработки ригидных концепций и установок, призванных объяснить причину имеющегося негативного аффективного состояния. Вероятно, склонен к формированию трудно корригируемых или некорригируемых концепций, связанных с представлением о наличии угрожающих или опасных действий окружающих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Неспособность осознать диагностическую ситуацию как субъективно-значимую, «экспертную для себя» отражает ригидность мотивационной сферы. Отношение к оценкам экспериментатора, результатам собственной деятельности указывает на измененность побудительной и смыслообразующей функций «мотива экспертизы» и косвенно – на измененность мотивации, порождаемой объективными требованиями действительности.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Нарушены все стороны мыслительной деятельности. Операциональные нарушения по типу искажения процесса обобщения сочетаются с выраженной склонностью к снижению уровня обобщения. В результате одновременного сосуществования различных подходов к заданию (нарушение личностного компонента мышления по типу разноплановости) суждения, определения и выводы испытуемого утрачивают целенаправленность. Наибольшую выраженность нецеленаправленность обретает в условиях необходимости самостоятельной организации своих действий. Это, в свою очередь, является свидетельством ослабления процесса саморегуляции познавательной деятельности. 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нарушения динамики психической деятельности, обнаруживающиеся во всей познавательной сфере (нарушение памяти, внимания, мышления), очевидно, вклад вносят как неполноценность органического субстрата, так и измененность мотивационной сферы. Вклад каждой из них дифференцировать друг от друга не представляется возможным.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Клинический психолог</w:t>
      </w:r>
    </w:p>
    <w:p>
      <w:pPr>
        <w:pStyle w:val="Normal"/>
        <w:spacing w:before="0" w:after="0"/>
        <w:ind w:firstLine="709"/>
        <w:jc w:val="right"/>
        <w:rPr/>
      </w:pPr>
      <w:r>
        <w:rPr>
          <w:rFonts w:ascii="Times New Roman" w:hAnsi="Times New Roman"/>
          <w:sz w:val="24"/>
          <w:szCs w:val="24"/>
        </w:rPr>
        <w:t>Н.М. Шуст</w:t>
      </w:r>
    </w:p>
    <w:sectPr>
      <w:footerReference w:type="default" r:id="rId2"/>
      <w:type w:val="nextPage"/>
      <w:pgSz w:w="11906" w:h="16838"/>
      <w:pgMar w:left="1080" w:right="1080" w:header="0" w:top="993" w:footer="709" w:bottom="1440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277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ar-SA" w:bidi="ar-SA"/>
    </w:rPr>
  </w:style>
  <w:style w:type="paragraph" w:styleId="Heading1">
    <w:name w:val="Heading 1"/>
    <w:basedOn w:val="Normal"/>
    <w:link w:val="10"/>
    <w:uiPriority w:val="9"/>
    <w:qFormat/>
    <w:rsid w:val="00536041"/>
    <w:pPr>
      <w:keepNext/>
      <w:spacing w:before="240" w:after="60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Heading2">
    <w:name w:val="Heading 2"/>
    <w:basedOn w:val="Normal"/>
    <w:qFormat/>
    <w:rsid w:val="006e277e"/>
    <w:pPr>
      <w:keepNext/>
      <w:keepLines/>
      <w:numPr>
        <w:ilvl w:val="1"/>
        <w:numId w:val="1"/>
      </w:numPr>
      <w:spacing w:before="200" w:after="0"/>
      <w:outlineLvl w:val="1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qFormat/>
    <w:rsid w:val="006e277e"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Times New Roman" w:hAnsi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sid w:val="006e277e"/>
    <w:rPr/>
  </w:style>
  <w:style w:type="character" w:styleId="WW8Num1z1" w:customStyle="1">
    <w:name w:val="WW8Num1z1"/>
    <w:qFormat/>
    <w:rsid w:val="006e277e"/>
    <w:rPr/>
  </w:style>
  <w:style w:type="character" w:styleId="WW8Num1z2" w:customStyle="1">
    <w:name w:val="WW8Num1z2"/>
    <w:qFormat/>
    <w:rsid w:val="006e277e"/>
    <w:rPr/>
  </w:style>
  <w:style w:type="character" w:styleId="WW8Num1z3" w:customStyle="1">
    <w:name w:val="WW8Num1z3"/>
    <w:qFormat/>
    <w:rsid w:val="006e277e"/>
    <w:rPr/>
  </w:style>
  <w:style w:type="character" w:styleId="WW8Num1z4" w:customStyle="1">
    <w:name w:val="WW8Num1z4"/>
    <w:qFormat/>
    <w:rsid w:val="006e277e"/>
    <w:rPr/>
  </w:style>
  <w:style w:type="character" w:styleId="WW8Num1z5" w:customStyle="1">
    <w:name w:val="WW8Num1z5"/>
    <w:qFormat/>
    <w:rsid w:val="006e277e"/>
    <w:rPr/>
  </w:style>
  <w:style w:type="character" w:styleId="WW8Num1z6" w:customStyle="1">
    <w:name w:val="WW8Num1z6"/>
    <w:qFormat/>
    <w:rsid w:val="006e277e"/>
    <w:rPr/>
  </w:style>
  <w:style w:type="character" w:styleId="WW8Num1z7" w:customStyle="1">
    <w:name w:val="WW8Num1z7"/>
    <w:qFormat/>
    <w:rsid w:val="006e277e"/>
    <w:rPr/>
  </w:style>
  <w:style w:type="character" w:styleId="WW8Num1z8" w:customStyle="1">
    <w:name w:val="WW8Num1z8"/>
    <w:qFormat/>
    <w:rsid w:val="006e277e"/>
    <w:rPr/>
  </w:style>
  <w:style w:type="character" w:styleId="1" w:customStyle="1">
    <w:name w:val="Основной шрифт абзаца1"/>
    <w:qFormat/>
    <w:rsid w:val="006e277e"/>
    <w:rPr/>
  </w:style>
  <w:style w:type="character" w:styleId="2" w:customStyle="1">
    <w:name w:val="Заголовок 2 Знак"/>
    <w:basedOn w:val="1"/>
    <w:qFormat/>
    <w:rsid w:val="006e277e"/>
    <w:rPr>
      <w:rFonts w:ascii="Cambria" w:hAnsi="Cambria" w:cs="Times New Roman"/>
      <w:b/>
      <w:bCs/>
      <w:color w:val="4F81BD"/>
      <w:sz w:val="26"/>
      <w:szCs w:val="26"/>
    </w:rPr>
  </w:style>
  <w:style w:type="character" w:styleId="4" w:customStyle="1">
    <w:name w:val="Заголовок 4 Знак"/>
    <w:basedOn w:val="1"/>
    <w:qFormat/>
    <w:rsid w:val="006e277e"/>
    <w:rPr>
      <w:rFonts w:ascii="Calibri" w:hAnsi="Calibri" w:cs="font222"/>
      <w:b/>
      <w:bCs/>
      <w:sz w:val="28"/>
      <w:szCs w:val="28"/>
    </w:rPr>
  </w:style>
  <w:style w:type="character" w:styleId="Style11" w:customStyle="1">
    <w:name w:val="Верхний колонтитул Знак"/>
    <w:basedOn w:val="1"/>
    <w:qFormat/>
    <w:rsid w:val="006e277e"/>
    <w:rPr/>
  </w:style>
  <w:style w:type="character" w:styleId="Style12" w:customStyle="1">
    <w:name w:val="Нижний колонтитул Знак"/>
    <w:basedOn w:val="1"/>
    <w:qFormat/>
    <w:rsid w:val="006e277e"/>
    <w:rPr/>
  </w:style>
  <w:style w:type="character" w:styleId="ListLabel1" w:customStyle="1">
    <w:name w:val="ListLabel 1"/>
    <w:qFormat/>
    <w:rsid w:val="006e277e"/>
    <w:rPr>
      <w:rFonts w:cs="Times New Roman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36041"/>
    <w:rPr>
      <w:rFonts w:ascii="Cambria" w:hAnsi="Cambria" w:eastAsia="Times New Roman" w:cs="Times New Roman"/>
      <w:b/>
      <w:bCs/>
      <w:sz w:val="32"/>
      <w:szCs w:val="32"/>
      <w:lang w:eastAsia="ar-SA"/>
    </w:rPr>
  </w:style>
  <w:style w:type="character" w:styleId="Style13" w:customStyle="1">
    <w:name w:val="Подзаголовок Знак"/>
    <w:basedOn w:val="DefaultParagraphFont"/>
    <w:link w:val="aa"/>
    <w:uiPriority w:val="11"/>
    <w:qFormat/>
    <w:rsid w:val="00536041"/>
    <w:rPr>
      <w:rFonts w:ascii="Cambria" w:hAnsi="Cambria" w:eastAsia="Times New Roman" w:cs="Times New Roman"/>
      <w:sz w:val="24"/>
      <w:szCs w:val="24"/>
      <w:lang w:eastAsia="ar-SA"/>
    </w:rPr>
  </w:style>
  <w:style w:type="character" w:styleId="Style14" w:customStyle="1">
    <w:name w:val="Название Знак"/>
    <w:basedOn w:val="DefaultParagraphFont"/>
    <w:link w:val="ac"/>
    <w:uiPriority w:val="10"/>
    <w:qFormat/>
    <w:rsid w:val="00536041"/>
    <w:rPr>
      <w:rFonts w:ascii="Cambria" w:hAnsi="Cambria" w:eastAsia="Times New Roman" w:cs="Times New Roman"/>
      <w:b/>
      <w:bCs/>
      <w:sz w:val="32"/>
      <w:szCs w:val="32"/>
      <w:lang w:eastAsia="ar-S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6e277e"/>
    <w:pPr>
      <w:spacing w:before="0" w:after="120"/>
    </w:pPr>
    <w:rPr/>
  </w:style>
  <w:style w:type="paragraph" w:styleId="List">
    <w:name w:val="List"/>
    <w:basedOn w:val="TextBody"/>
    <w:rsid w:val="006e277e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yle15" w:customStyle="1">
    <w:name w:val="Заголовок"/>
    <w:basedOn w:val="Normal"/>
    <w:qFormat/>
    <w:rsid w:val="006e277e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12" w:customStyle="1">
    <w:name w:val="Название1"/>
    <w:basedOn w:val="Normal"/>
    <w:qFormat/>
    <w:rsid w:val="006e27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6e277e"/>
    <w:pPr>
      <w:suppressLineNumbers/>
    </w:pPr>
    <w:rPr>
      <w:rFonts w:cs="Mangal"/>
    </w:rPr>
  </w:style>
  <w:style w:type="paragraph" w:styleId="Header">
    <w:name w:val="Header"/>
    <w:basedOn w:val="Normal"/>
    <w:rsid w:val="006e277e"/>
    <w:pPr>
      <w:suppressLineNumbers/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Footer">
    <w:name w:val="Footer"/>
    <w:basedOn w:val="Normal"/>
    <w:rsid w:val="006e277e"/>
    <w:pPr>
      <w:suppressLineNumbers/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Subtitle">
    <w:name w:val="Subtitle"/>
    <w:basedOn w:val="Normal"/>
    <w:link w:val="ab"/>
    <w:uiPriority w:val="11"/>
    <w:qFormat/>
    <w:rsid w:val="00536041"/>
    <w:pPr>
      <w:spacing w:before="0" w:after="60"/>
      <w:jc w:val="center"/>
      <w:outlineLvl w:val="1"/>
    </w:pPr>
    <w:rPr>
      <w:rFonts w:ascii="Cambria" w:hAnsi="Cambria" w:eastAsia="Times New Roman"/>
      <w:sz w:val="24"/>
      <w:szCs w:val="24"/>
    </w:rPr>
  </w:style>
  <w:style w:type="paragraph" w:styleId="Title">
    <w:name w:val="Title"/>
    <w:basedOn w:val="Normal"/>
    <w:link w:val="ad"/>
    <w:uiPriority w:val="10"/>
    <w:qFormat/>
    <w:rsid w:val="00536041"/>
    <w:pPr>
      <w:spacing w:before="240" w:after="60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Application>LibreOffice/5.1.4.2$Windows_X86_64 LibreOffice_project/f99d75f39f1c57ebdd7ffc5f42867c12031db97a</Application>
  <Pages>3</Pages>
  <Words>956</Words>
  <Characters>7390</Characters>
  <CharactersWithSpaces>8342</CharactersWithSpaces>
  <Paragraphs>20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2016-08-18T11:18:00Z</dcterms:created>
  <dc:creator>Надежда</dc:creator>
  <dc:description/>
  <dc:language>en-US</dc:language>
  <cp:lastModifiedBy/>
  <cp:lastPrinted>1601-01-01T00:00:00Z</cp:lastPrinted>
  <dcterms:modified xsi:type="dcterms:W3CDTF">2016-10-14T16:47:30Z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